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pPr>
      <w:r>
        <w:rPr>
          <w:rFonts w:ascii="Calibri" w:hAnsi="Calibri"/>
          <w:b/>
          <w:i w:val="false"/>
          <w:iCs w:val="false"/>
          <w:color w:val="000000"/>
          <w:sz w:val="24"/>
          <w:szCs w:val="24"/>
        </w:rPr>
        <w:t xml:space="preserve">AVISO DE DISPENSA ELETRÔNICA Nº </w:t>
      </w:r>
      <w:r>
        <w:rPr>
          <w:rFonts w:eastAsia="Arial" w:cs="Arial" w:ascii="Calibri" w:hAnsi="Calibri"/>
          <w:b/>
          <w:i w:val="false"/>
          <w:iCs w:val="false"/>
          <w:color w:val="000000"/>
          <w:kern w:val="0"/>
          <w:sz w:val="24"/>
          <w:szCs w:val="24"/>
          <w:lang w:val="pt-BR" w:eastAsia="zh-CN" w:bidi="hi-IN"/>
        </w:rPr>
        <w:t>233</w:t>
      </w:r>
      <w:r>
        <w:rPr>
          <w:rFonts w:ascii="Calibri" w:hAnsi="Calibri"/>
          <w:b/>
          <w:i w:val="false"/>
          <w:iCs w:val="false"/>
          <w:color w:val="000000"/>
          <w:sz w:val="24"/>
          <w:szCs w:val="24"/>
        </w:rPr>
        <w:t>/2023</w:t>
      </w:r>
    </w:p>
    <w:p>
      <w:pPr>
        <w:pStyle w:val="Normal"/>
        <w:spacing w:lineRule="auto" w:line="276" w:before="0" w:after="120"/>
        <w:ind w:right="-15" w:hanging="0"/>
        <w:jc w:val="center"/>
        <w:rPr/>
      </w:pPr>
      <w:r>
        <w:rPr>
          <w:rFonts w:ascii="Calibri" w:hAnsi="Calibri"/>
          <w:b/>
          <w:i w:val="false"/>
          <w:iCs w:val="false"/>
          <w:color w:val="000000"/>
          <w:sz w:val="24"/>
          <w:szCs w:val="24"/>
        </w:rPr>
        <w:t>(Processo Administrativo n.</w:t>
      </w:r>
      <w:r>
        <w:rPr>
          <w:rStyle w:val="Nfaseforte"/>
          <w:rFonts w:eastAsia="Arial" w:cs="Arial" w:ascii="Calibri" w:hAnsi="Calibri"/>
          <w:b/>
          <w:bCs/>
          <w:i w:val="false"/>
          <w:iCs w:val="false"/>
          <w:color w:val="000000"/>
          <w:sz w:val="24"/>
          <w:szCs w:val="24"/>
          <w:lang w:eastAsia="ar-SA"/>
        </w:rPr>
        <w:t>°</w:t>
      </w:r>
      <w:r>
        <w:rPr>
          <w:rStyle w:val="Nfaseforte"/>
          <w:rFonts w:eastAsia="Times New Roman" w:cs="Arial" w:ascii="Calibri" w:hAnsi="Calibri"/>
          <w:b/>
          <w:bCs/>
          <w:i w:val="false"/>
          <w:iCs w:val="false"/>
          <w:color w:val="000000"/>
          <w:kern w:val="0"/>
          <w:sz w:val="24"/>
          <w:szCs w:val="24"/>
          <w:shd w:fill="auto" w:val="clear"/>
          <w:lang w:val="pt-BR" w:eastAsia="pt-BR" w:bidi="ar-SA"/>
        </w:rPr>
        <w:t xml:space="preserve"> </w:t>
      </w:r>
      <w:r>
        <w:rPr>
          <w:rStyle w:val="Nfaseforte"/>
          <w:rFonts w:eastAsia="Times New Roman" w:cs="Arial" w:ascii="Calibri" w:hAnsi="Calibri"/>
          <w:i w:val="false"/>
          <w:iCs w:val="false"/>
          <w:color w:val="000000"/>
          <w:kern w:val="0"/>
          <w:sz w:val="24"/>
          <w:szCs w:val="24"/>
          <w:lang w:val="pt-BR" w:eastAsia="pt-BR" w:bidi="ar-SA"/>
        </w:rPr>
        <w:t>63430.003135/2023-81)</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/2023</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contratação, por dispensa de licitação, </w:t>
      </w: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t xml:space="preserve">de </w:t>
      </w:r>
      <w:r>
        <w:rPr>
          <w:rFonts w:eastAsia="Arial" w:cs="Arial" w:ascii="Calibri" w:hAnsi="Calibri"/>
          <w:b w:val="false"/>
          <w:bCs w:val="false"/>
          <w:i w:val="false"/>
          <w:iCs w:val="false"/>
          <w:caps w:val="false"/>
          <w:smallCaps w:val="false"/>
          <w:strike w:val="false"/>
          <w:dstrike w:val="false"/>
          <w:color w:val="000000"/>
          <w:position w:val="0"/>
          <w:sz w:val="24"/>
          <w:sz w:val="24"/>
          <w:szCs w:val="24"/>
          <w:highlight w:val="white"/>
          <w:u w:val="none"/>
          <w:vertAlign w:val="baseline"/>
        </w:rPr>
        <w:t>Serviço de Comunicação Satelital</w:t>
      </w:r>
      <w:r>
        <w:rPr>
          <w:rFonts w:eastAsia="Arial" w:cs="Arial" w:ascii="Calibri" w:hAnsi="Calibri"/>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sz w:val="16"/>
          <w:szCs w:val="16"/>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contratação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Layout w:type="fixed"/>
        <w:tblCellMar>
          <w:top w:w="0" w:type="dxa"/>
          <w:left w:w="43" w:type="dxa"/>
          <w:bottom w:w="0" w:type="dxa"/>
          <w:right w:w="108" w:type="dxa"/>
        </w:tblCellMar>
        <w:tblLook w:val="0400"/>
      </w:tblPr>
      <w:tblGrid>
        <w:gridCol w:w="700"/>
        <w:gridCol w:w="2017"/>
        <w:gridCol w:w="1417"/>
        <w:gridCol w:w="1185"/>
        <w:gridCol w:w="916"/>
        <w:gridCol w:w="1185"/>
        <w:gridCol w:w="1151"/>
        <w:gridCol w:w="1304"/>
        <w:gridCol w:w="849"/>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ITEM</w:t>
            </w:r>
          </w:p>
          <w:p>
            <w:pPr>
              <w:pStyle w:val="Normal"/>
              <w:widowControl w:val="false"/>
              <w:jc w:val="both"/>
              <w:rPr>
                <w:rFonts w:ascii="Calibri" w:hAnsi="Calibri"/>
                <w:b/>
                <w:b/>
                <w:i w:val="false"/>
                <w:i w:val="false"/>
                <w:iCs w:val="false"/>
                <w:color w:val="000000"/>
                <w:sz w:val="16"/>
                <w:szCs w:val="16"/>
              </w:rPr>
            </w:pPr>
            <w:r>
              <w:rPr>
                <w:rFonts w:ascii="Calibri" w:hAnsi="Calibri"/>
                <w:b/>
                <w:i w:val="false"/>
                <w:iCs w:val="false"/>
                <w:color w:val="000000"/>
                <w:sz w:val="16"/>
                <w:szCs w:val="16"/>
              </w:rPr>
            </w:r>
          </w:p>
        </w:tc>
        <w:tc>
          <w:tcPr>
            <w:tcW w:w="20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DESCRIÇÃO/</w:t>
            </w:r>
          </w:p>
          <w:p>
            <w:pPr>
              <w:pStyle w:val="Normal"/>
              <w:widowControl w:val="false"/>
              <w:jc w:val="both"/>
              <w:rPr>
                <w:rFonts w:ascii="Carlito " w:hAnsi="Carlito "/>
                <w:sz w:val="24"/>
                <w:szCs w:val="24"/>
              </w:rPr>
            </w:pPr>
            <w:r>
              <w:rPr>
                <w:rFonts w:ascii="Calibri" w:hAnsi="Calibri"/>
                <w:b/>
                <w:i w:val="false"/>
                <w:iCs w:val="false"/>
                <w:color w:val="000000"/>
                <w:sz w:val="16"/>
                <w:szCs w:val="16"/>
              </w:rPr>
              <w:t>ESPECIFICAÇÃO</w:t>
            </w:r>
          </w:p>
        </w:tc>
        <w:tc>
          <w:tcPr>
            <w:tcW w:w="1417"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libri" w:hAnsi="Calibri"/>
                <w:b/>
                <w:bCs/>
                <w:i w:val="false"/>
                <w:iCs w:val="false"/>
                <w:sz w:val="16"/>
                <w:szCs w:val="16"/>
              </w:rPr>
              <w:t>CATMAT/</w:t>
            </w:r>
          </w:p>
          <w:p>
            <w:pPr>
              <w:pStyle w:val="Default"/>
              <w:widowControl w:val="false"/>
              <w:jc w:val="both"/>
              <w:rPr>
                <w:rFonts w:ascii="Carlito " w:hAnsi="Carlito "/>
                <w:sz w:val="24"/>
                <w:szCs w:val="24"/>
              </w:rPr>
            </w:pPr>
            <w:r>
              <w:rPr>
                <w:rFonts w:ascii="Calibri" w:hAnsi="Calibri"/>
                <w:b/>
                <w:bCs/>
                <w:i w:val="false"/>
                <w:iCs w:val="false"/>
                <w:color w:val="000000"/>
                <w:sz w:val="16"/>
                <w:szCs w:val="16"/>
              </w:rPr>
              <w:t>CATSER</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UNIDADE DE MEDIDA</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bCs/>
                <w:i w:val="false"/>
                <w:iCs w:val="false"/>
                <w:sz w:val="16"/>
                <w:szCs w:val="16"/>
              </w:rPr>
              <w:t>PREÇO ESTIMADO UNITÁRIO</w:t>
            </w:r>
          </w:p>
        </w:tc>
        <w:tc>
          <w:tcPr>
            <w:tcW w:w="11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PREÇO ESTIMADO TOTAL</w:t>
            </w:r>
          </w:p>
        </w:tc>
        <w:tc>
          <w:tcPr>
            <w:tcW w:w="13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LOCAL DE ENTREGA</w:t>
            </w:r>
          </w:p>
        </w:tc>
        <w:tc>
          <w:tcPr>
            <w:tcW w:w="8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Default"/>
              <w:widowControl w:val="false"/>
              <w:jc w:val="center"/>
              <w:rPr>
                <w:rFonts w:ascii="Calibri" w:hAnsi="Calibri"/>
                <w:sz w:val="16"/>
                <w:szCs w:val="16"/>
              </w:rPr>
            </w:pPr>
            <w:r>
              <w:rPr>
                <w:rFonts w:ascii="Calibri" w:hAnsi="Calibri"/>
                <w:sz w:val="16"/>
                <w:szCs w:val="16"/>
              </w:rPr>
            </w:r>
          </w:p>
          <w:p>
            <w:pPr>
              <w:pStyle w:val="Default"/>
              <w:widowControl w:val="false"/>
              <w:jc w:val="center"/>
              <w:rPr>
                <w:rFonts w:ascii="Calibri" w:hAnsi="Calibri"/>
                <w:sz w:val="16"/>
                <w:szCs w:val="16"/>
              </w:rPr>
            </w:pPr>
            <w:r>
              <w:rPr>
                <w:rFonts w:ascii="Calibri" w:hAnsi="Calibri"/>
                <w:sz w:val="16"/>
                <w:szCs w:val="16"/>
              </w:rPr>
              <w:t>1</w:t>
            </w:r>
          </w:p>
        </w:tc>
        <w:tc>
          <w:tcPr>
            <w:tcW w:w="201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keepNext w:val="true"/>
              <w:keepLines w:val="false"/>
              <w:widowControl w:val="false"/>
              <w:tabs>
                <w:tab w:val="clear" w:pos="709"/>
                <w:tab w:val="left" w:pos="1843" w:leader="none"/>
              </w:tabs>
              <w:spacing w:lineRule="auto" w:line="276" w:before="120" w:after="120"/>
              <w:ind w:left="0" w:right="0" w:hanging="0"/>
              <w:jc w:val="both"/>
              <w:rPr>
                <w:rFonts w:ascii="Calibri" w:hAnsi="Calibri" w:eastAsia="Arial" w:cs="Arial"/>
                <w:b w:val="false"/>
                <w:b w:val="false"/>
                <w:bCs w:val="false"/>
                <w:i w:val="false"/>
                <w:i w:val="false"/>
                <w:caps w:val="false"/>
                <w:smallCaps w:val="false"/>
                <w:strike w:val="false"/>
                <w:dstrike w:val="false"/>
                <w:color w:val="000000"/>
                <w:position w:val="0"/>
                <w:sz w:val="14"/>
                <w:sz w:val="14"/>
                <w:szCs w:val="14"/>
                <w:u w:val="none"/>
                <w:vertAlign w:val="baseline"/>
              </w:rPr>
            </w:pPr>
            <w:r>
              <w:rPr>
                <w:rFonts w:eastAsia="Arial" w:cs="Arial" w:ascii="Calibri" w:hAnsi="Calibri"/>
                <w:b w:val="false"/>
                <w:bCs w:val="false"/>
                <w:i w:val="false"/>
                <w:caps w:val="false"/>
                <w:smallCaps w:val="false"/>
                <w:strike w:val="false"/>
                <w:dstrike w:val="false"/>
                <w:color w:val="000000"/>
                <w:position w:val="0"/>
                <w:sz w:val="14"/>
                <w:sz w:val="14"/>
                <w:szCs w:val="14"/>
                <w:u w:val="none"/>
                <w:vertAlign w:val="baseline"/>
              </w:rPr>
              <w:t>Plano Pré-pago de Bgan – Brasil</w:t>
            </w:r>
          </w:p>
          <w:p>
            <w:pPr>
              <w:pStyle w:val="Normal"/>
              <w:widowControl w:val="false"/>
              <w:tabs>
                <w:tab w:val="clear" w:pos="709"/>
                <w:tab w:val="left" w:pos="1843" w:leader="none"/>
              </w:tabs>
              <w:spacing w:lineRule="auto" w:line="276" w:before="120" w:after="120"/>
              <w:ind w:left="0" w:right="0" w:hanging="0"/>
              <w:jc w:val="both"/>
              <w:rPr>
                <w:rFonts w:ascii="Calibri" w:hAnsi="Calibri" w:eastAsia="Arial" w:cs="Arial"/>
                <w:b w:val="false"/>
                <w:b w:val="false"/>
                <w:bCs w:val="false"/>
                <w:i w:val="false"/>
                <w:i w:val="false"/>
                <w:caps w:val="false"/>
                <w:smallCaps w:val="false"/>
                <w:strike w:val="false"/>
                <w:dstrike w:val="false"/>
                <w:color w:val="000000"/>
                <w:position w:val="0"/>
                <w:sz w:val="14"/>
                <w:sz w:val="14"/>
                <w:szCs w:val="14"/>
                <w:u w:val="none"/>
                <w:vertAlign w:val="baseline"/>
              </w:rPr>
            </w:pPr>
            <w:r>
              <w:rPr>
                <w:rFonts w:eastAsia="Arial" w:cs="Arial" w:ascii="Calibri" w:hAnsi="Calibri"/>
                <w:b w:val="false"/>
                <w:bCs w:val="false"/>
                <w:i w:val="false"/>
                <w:caps w:val="false"/>
                <w:smallCaps w:val="false"/>
                <w:strike w:val="false"/>
                <w:dstrike w:val="false"/>
                <w:color w:val="000000"/>
                <w:position w:val="0"/>
                <w:sz w:val="14"/>
                <w:sz w:val="14"/>
                <w:szCs w:val="14"/>
                <w:u w:val="none"/>
                <w:vertAlign w:val="baseline"/>
              </w:rPr>
              <w:t>* Recarga de 1.000 UN com validade de 365 dias. Valores já incluso: Ativação da linha e frete (envio do Simcard)</w:t>
            </w:r>
          </w:p>
          <w:p>
            <w:pPr>
              <w:pStyle w:val="Normal"/>
              <w:widowControl w:val="false"/>
              <w:tabs>
                <w:tab w:val="clear" w:pos="709"/>
                <w:tab w:val="left" w:pos="1843" w:leader="none"/>
              </w:tabs>
              <w:spacing w:lineRule="auto" w:line="276" w:before="120" w:after="120"/>
              <w:ind w:left="0" w:right="0" w:hanging="0"/>
              <w:jc w:val="both"/>
              <w:rPr>
                <w:rFonts w:ascii="Calibri" w:hAnsi="Calibri" w:eastAsia="Arial" w:cs="Arial"/>
                <w:b w:val="false"/>
                <w:b w:val="false"/>
                <w:bCs w:val="false"/>
                <w:i w:val="false"/>
                <w:i w:val="false"/>
                <w:caps w:val="false"/>
                <w:smallCaps w:val="false"/>
                <w:strike w:val="false"/>
                <w:dstrike w:val="false"/>
                <w:color w:val="000000"/>
                <w:position w:val="0"/>
                <w:sz w:val="14"/>
                <w:sz w:val="14"/>
                <w:szCs w:val="14"/>
                <w:u w:val="none"/>
                <w:vertAlign w:val="baseline"/>
              </w:rPr>
            </w:pPr>
            <w:r>
              <w:rPr>
                <w:rFonts w:eastAsia="Arial" w:cs="Arial" w:ascii="Calibri" w:hAnsi="Calibri"/>
                <w:b w:val="false"/>
                <w:bCs w:val="false"/>
                <w:i w:val="false"/>
                <w:caps w:val="false"/>
                <w:smallCaps w:val="false"/>
                <w:strike w:val="false"/>
                <w:dstrike w:val="false"/>
                <w:color w:val="000000"/>
                <w:position w:val="0"/>
                <w:sz w:val="14"/>
                <w:sz w:val="14"/>
                <w:szCs w:val="14"/>
                <w:u w:val="none"/>
                <w:vertAlign w:val="baseline"/>
              </w:rPr>
              <w:t>* Período para a ativação até 12 meses</w:t>
            </w:r>
          </w:p>
        </w:tc>
        <w:tc>
          <w:tcPr>
            <w:tcW w:w="141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Calibri" w:hAnsi="Calibri"/>
                <w:color w:val="000000"/>
                <w:sz w:val="16"/>
                <w:szCs w:val="16"/>
                <w:highlight w:val="yellow"/>
              </w:rPr>
            </w:pPr>
            <w:r>
              <w:rPr>
                <w:rFonts w:ascii="Calibri" w:hAnsi="Calibri"/>
                <w:color w:val="000000"/>
                <w:sz w:val="16"/>
                <w:szCs w:val="16"/>
                <w:highlight w:val="yellow"/>
              </w:rPr>
            </w:r>
          </w:p>
          <w:p>
            <w:pPr>
              <w:pStyle w:val="Normal"/>
              <w:widowControl w:val="false"/>
              <w:spacing w:lineRule="auto" w:line="276" w:before="0" w:after="120"/>
              <w:jc w:val="center"/>
              <w:rPr>
                <w:rFonts w:ascii="Calibri" w:hAnsi="Calibri"/>
                <w:color w:val="CE181E"/>
                <w:sz w:val="16"/>
                <w:szCs w:val="16"/>
                <w:highlight w:val="white"/>
              </w:rPr>
            </w:pPr>
            <w:r>
              <w:rPr>
                <w:rFonts w:ascii="Calibri" w:hAnsi="Calibri"/>
                <w:color w:val="000000"/>
                <w:sz w:val="16"/>
                <w:szCs w:val="16"/>
                <w:highlight w:val="white"/>
              </w:rPr>
              <w:t>26450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Calibri" w:hAnsi="Calibri"/>
                <w:sz w:val="16"/>
                <w:szCs w:val="16"/>
              </w:rPr>
            </w:pPr>
            <w:r>
              <w:rPr>
                <w:rFonts w:ascii="Calibri" w:hAnsi="Calibri"/>
                <w:sz w:val="16"/>
                <w:szCs w:val="16"/>
              </w:rPr>
            </w:r>
          </w:p>
          <w:p>
            <w:pPr>
              <w:pStyle w:val="Normal"/>
              <w:widowControl w:val="false"/>
              <w:spacing w:lineRule="auto" w:line="276" w:before="0" w:after="120"/>
              <w:jc w:val="center"/>
              <w:rPr>
                <w:rFonts w:ascii="Calibri" w:hAnsi="Calibri"/>
                <w:sz w:val="16"/>
                <w:szCs w:val="16"/>
              </w:rPr>
            </w:pPr>
            <w:r>
              <w:rPr>
                <w:rFonts w:ascii="Calibri" w:hAnsi="Calibri"/>
                <w:sz w:val="16"/>
                <w:szCs w:val="16"/>
              </w:rPr>
              <w:t>ANUAL</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Calibri" w:hAnsi="Calibri"/>
                <w:sz w:val="16"/>
                <w:szCs w:val="16"/>
              </w:rPr>
            </w:pPr>
            <w:r>
              <w:rPr>
                <w:rFonts w:ascii="Calibri" w:hAnsi="Calibri"/>
                <w:sz w:val="16"/>
                <w:szCs w:val="16"/>
              </w:rPr>
            </w:r>
          </w:p>
          <w:p>
            <w:pPr>
              <w:pStyle w:val="Normal"/>
              <w:widowControl w:val="false"/>
              <w:spacing w:lineRule="auto" w:line="276" w:before="0" w:after="120"/>
              <w:jc w:val="center"/>
              <w:rPr>
                <w:rFonts w:ascii="Calibri" w:hAnsi="Calibri"/>
                <w:sz w:val="16"/>
                <w:szCs w:val="16"/>
              </w:rPr>
            </w:pPr>
            <w:r>
              <w:rPr>
                <w:rFonts w:ascii="Calibri" w:hAnsi="Calibri"/>
                <w:sz w:val="16"/>
                <w:szCs w:val="16"/>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Calibri" w:hAnsi="Calibri"/>
                <w:sz w:val="16"/>
                <w:szCs w:val="16"/>
              </w:rPr>
            </w:pPr>
            <w:r>
              <w:rPr>
                <w:rFonts w:ascii="Calibri" w:hAnsi="Calibri"/>
                <w:sz w:val="16"/>
                <w:szCs w:val="16"/>
              </w:rPr>
            </w:r>
          </w:p>
          <w:p>
            <w:pPr>
              <w:pStyle w:val="Normal"/>
              <w:widowControl w:val="false"/>
              <w:spacing w:lineRule="auto" w:line="276" w:before="0" w:after="120"/>
              <w:jc w:val="center"/>
              <w:rPr>
                <w:rFonts w:ascii="Calibri" w:hAnsi="Calibri"/>
                <w:sz w:val="16"/>
                <w:szCs w:val="16"/>
              </w:rPr>
            </w:pPr>
            <w:r>
              <w:rPr>
                <w:rFonts w:ascii="Calibri" w:hAnsi="Calibri"/>
                <w:sz w:val="16"/>
                <w:szCs w:val="16"/>
              </w:rPr>
              <w:t>R$ 9.478,00</w:t>
            </w:r>
          </w:p>
        </w:tc>
        <w:tc>
          <w:tcPr>
            <w:tcW w:w="115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Calibri" w:hAnsi="Calibri"/>
                <w:sz w:val="16"/>
                <w:szCs w:val="16"/>
              </w:rPr>
            </w:pPr>
            <w:r>
              <w:rPr>
                <w:rFonts w:ascii="Calibri" w:hAnsi="Calibri"/>
                <w:sz w:val="16"/>
                <w:szCs w:val="16"/>
              </w:rPr>
            </w:r>
          </w:p>
          <w:p>
            <w:pPr>
              <w:pStyle w:val="Normal"/>
              <w:widowControl w:val="false"/>
              <w:spacing w:lineRule="auto" w:line="276" w:before="0" w:after="120"/>
              <w:jc w:val="center"/>
              <w:rPr>
                <w:rFonts w:ascii="Calibri" w:hAnsi="Calibri"/>
                <w:sz w:val="16"/>
                <w:szCs w:val="16"/>
              </w:rPr>
            </w:pPr>
            <w:r>
              <w:rPr>
                <w:rFonts w:ascii="Calibri" w:hAnsi="Calibri"/>
                <w:sz w:val="16"/>
                <w:szCs w:val="16"/>
              </w:rPr>
              <w:t xml:space="preserve">R$ </w:t>
            </w:r>
            <w:r>
              <w:rPr>
                <w:rFonts w:ascii="Calibri" w:hAnsi="Calibri"/>
                <w:sz w:val="16"/>
                <w:szCs w:val="16"/>
              </w:rPr>
              <w:t>9</w:t>
            </w:r>
            <w:r>
              <w:rPr>
                <w:rFonts w:ascii="Calibri" w:hAnsi="Calibri"/>
                <w:sz w:val="16"/>
                <w:szCs w:val="16"/>
              </w:rPr>
              <w:t>.</w:t>
            </w:r>
            <w:r>
              <w:rPr>
                <w:rFonts w:ascii="Calibri" w:hAnsi="Calibri"/>
                <w:sz w:val="16"/>
                <w:szCs w:val="16"/>
              </w:rPr>
              <w:t>478</w:t>
            </w:r>
            <w:r>
              <w:rPr>
                <w:rFonts w:ascii="Calibri" w:hAnsi="Calibri"/>
                <w:sz w:val="16"/>
                <w:szCs w:val="16"/>
              </w:rPr>
              <w:t>,00</w:t>
            </w:r>
          </w:p>
        </w:tc>
        <w:tc>
          <w:tcPr>
            <w:tcW w:w="130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libri" w:hAnsi="Calibri"/>
                <w:i w:val="false"/>
                <w:iCs w:val="false"/>
                <w:color w:val="000000"/>
                <w:sz w:val="16"/>
                <w:szCs w:val="16"/>
              </w:rPr>
              <w:t>Batalhão de Operações Especiais de Fuzileiros Navais</w:t>
            </w:r>
          </w:p>
        </w:tc>
        <w:tc>
          <w:tcPr>
            <w:tcW w:w="84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libri" w:hAnsi="Calibri"/>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16"/>
          <w:sz w:val="16"/>
          <w:szCs w:val="16"/>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16"/>
          <w:sz w:val="16"/>
          <w:szCs w:val="16"/>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Style w:val="ListLabel12"/>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rStyle w:val="ListLabel14"/>
          <w:sz w:val="24"/>
          <w:i w:val="false"/>
          <w:szCs w:val="24"/>
          <w:iCs w:val="false"/>
          <w:rFonts w:ascii="Calibri" w:hAnsi="Calibri"/>
          <w:color w:val="000000"/>
        </w:rPr>
        <w:instrText xml:space="preserve"> HYPERLINK "http://www.planalto.gov.br/ccivil_03/_Ato2011-2014/2013/Lei/L12846.htm" \l "art5"</w:instrText>
      </w:r>
      <w:r>
        <w:rPr>
          <w:rStyle w:val="ListLabel14"/>
          <w:sz w:val="24"/>
          <w:i w:val="false"/>
          <w:szCs w:val="24"/>
          <w:iCs w:val="false"/>
          <w:rFonts w:ascii="Calibri" w:hAnsi="Calibri"/>
          <w:color w:val="000000"/>
        </w:rPr>
        <w:fldChar w:fldCharType="separate"/>
      </w:r>
      <w:r>
        <w:rPr>
          <w:rStyle w:val="ListLabel14"/>
          <w:rFonts w:ascii="Calibri" w:hAnsi="Calibri"/>
          <w:i w:val="false"/>
          <w:iCs w:val="false"/>
          <w:color w:val="000000"/>
          <w:sz w:val="24"/>
          <w:szCs w:val="24"/>
        </w:rPr>
        <w:t>art. 5º da Lei nº 12.846, de 1º de agosto de 2013.</w:t>
      </w:r>
      <w:r>
        <w:rPr>
          <w:rStyle w:val="ListLabel14"/>
          <w:sz w:val="24"/>
          <w:i w:val="false"/>
          <w:szCs w:val="24"/>
          <w:iCs w:val="false"/>
          <w:rFonts w:ascii="Calibri" w:hAnsi="Calibri"/>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Gestão/Unidade: 0001/795400</w:t>
      </w:r>
    </w:p>
    <w:p>
      <w:pPr>
        <w:pStyle w:val="Normal"/>
        <w:spacing w:lineRule="auto" w:line="276" w:before="63" w:after="63"/>
        <w:ind w:left="1494" w:right="0" w:hanging="0"/>
        <w:jc w:val="both"/>
        <w:rPr/>
      </w:pPr>
      <w:r>
        <w:rPr>
          <w:rFonts w:cs="Arial" w:ascii="Carlito" w:hAnsi="Carlito"/>
          <w:i w:val="false"/>
          <w:iCs w:val="false"/>
          <w:color w:val="000000"/>
          <w:sz w:val="24"/>
          <w:szCs w:val="24"/>
        </w:rPr>
        <w:t xml:space="preserve">Fonte: </w:t>
      </w:r>
      <w:bookmarkStart w:id="4" w:name="manterPage%25252525253Aform%25252525253A"/>
      <w:bookmarkEnd w:id="4"/>
      <w:r>
        <w:rPr>
          <w:rFonts w:eastAsia="Arial" w:cs="Arial" w:ascii="Carlito" w:hAnsi="Carlito"/>
          <w:i w:val="false"/>
          <w:iCs w:val="false"/>
          <w:color w:val="000000"/>
          <w:kern w:val="0"/>
          <w:sz w:val="24"/>
          <w:szCs w:val="24"/>
          <w:lang w:val="pt-BR" w:eastAsia="zh-CN" w:bidi="hi-IN"/>
        </w:rPr>
        <w:t>3000000000</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Programa de Trabalho: 228318</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Elemento de Despesa: 339030</w:t>
      </w:r>
    </w:p>
    <w:p>
      <w:pPr>
        <w:pStyle w:val="Normal"/>
        <w:numPr>
          <w:ilvl w:val="0"/>
          <w:numId w:val="0"/>
        </w:numPr>
        <w:spacing w:lineRule="auto" w:line="276" w:before="63" w:after="63"/>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pP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PI: O.CS6.00.2.2.0.00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 xml:space="preserve">ANEXO III –Termo de Referência; </w:t>
      </w:r>
    </w:p>
    <w:p>
      <w:pPr>
        <w:pStyle w:val="Normal"/>
        <w:numPr>
          <w:ilvl w:val="2"/>
          <w:numId w:val="3"/>
        </w:numPr>
        <w:spacing w:lineRule="auto" w:line="276" w:before="120" w:after="120"/>
        <w:jc w:val="both"/>
        <w:rPr/>
      </w:pPr>
      <w:bookmarkStart w:id="5" w:name="__DdeLink__4343_1152570650"/>
      <w:r>
        <w:rPr>
          <w:rFonts w:ascii="Calibri" w:hAnsi="Calibri"/>
          <w:i w:val="false"/>
          <w:iCs w:val="false"/>
          <w:color w:val="000000"/>
          <w:sz w:val="24"/>
          <w:szCs w:val="24"/>
        </w:rPr>
        <w:t>ANEXO IV –</w:t>
      </w:r>
      <w:bookmarkEnd w:id="5"/>
      <w:r>
        <w:rPr>
          <w:rFonts w:ascii="Calibri" w:hAnsi="Calibri"/>
          <w:i w:val="false"/>
          <w:iCs w:val="false"/>
          <w:color w:val="000000"/>
          <w:sz w:val="24"/>
          <w:szCs w:val="24"/>
        </w:rPr>
        <w:t xml:space="preserve"> Documentação exigida para Habilitação; e</w:t>
      </w:r>
    </w:p>
    <w:p>
      <w:pPr>
        <w:pStyle w:val="Normal"/>
        <w:numPr>
          <w:ilvl w:val="2"/>
          <w:numId w:val="3"/>
        </w:numPr>
        <w:spacing w:lineRule="auto" w:line="276" w:before="120" w:after="120"/>
        <w:jc w:val="both"/>
        <w:rPr/>
      </w:pPr>
      <w:r>
        <w:rPr>
          <w:rFonts w:ascii="Calibri" w:hAnsi="Calibri"/>
          <w:i w:val="false"/>
          <w:iCs w:val="false"/>
          <w:color w:val="000000"/>
          <w:sz w:val="24"/>
          <w:szCs w:val="24"/>
        </w:rPr>
        <w:t>ANEXO V – Mapa Comparativo de preços.</w:t>
      </w:r>
    </w:p>
    <w:p>
      <w:pPr>
        <w:pStyle w:val="Normal"/>
        <w:spacing w:lineRule="auto" w:line="276" w:before="120" w:after="12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numPr>
          <w:ilvl w:val="0"/>
          <w:numId w:val="0"/>
        </w:numPr>
        <w:spacing w:lineRule="auto" w:line="276" w:before="120" w:after="120"/>
        <w:ind w:left="1224" w:hanging="0"/>
        <w:jc w:val="both"/>
        <w:rPr>
          <w:i w:val="false"/>
          <w:i w:val="false"/>
          <w:iCs w:val="false"/>
          <w:color w:val="000000"/>
        </w:rPr>
      </w:pPr>
      <w:r>
        <w:rPr>
          <w:i w:val="false"/>
          <w:iCs w:val="false"/>
          <w:color w:val="000000"/>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2023</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Contedodatabela"/>
        <w:jc w:val="center"/>
        <w:rPr>
          <w:rFonts w:ascii="Carlito" w:hAnsi="Carlito"/>
          <w:color w:val="000000"/>
          <w:sz w:val="24"/>
          <w:szCs w:val="24"/>
        </w:rPr>
      </w:pPr>
      <w:r>
        <w:rPr>
          <w:rFonts w:ascii="Carlito" w:hAnsi="Carlito"/>
          <w:b/>
          <w:bCs/>
          <w:color w:val="000000"/>
          <w:sz w:val="24"/>
          <w:szCs w:val="24"/>
        </w:rPr>
        <w:t>ARISTONE</w:t>
      </w:r>
      <w:r>
        <w:rPr>
          <w:rFonts w:ascii="Carlito" w:hAnsi="Carlito"/>
          <w:color w:val="000000"/>
          <w:sz w:val="24"/>
          <w:szCs w:val="24"/>
        </w:rPr>
        <w:t xml:space="preserve"> LEAL MOURA </w:t>
      </w:r>
    </w:p>
    <w:p>
      <w:pPr>
        <w:pStyle w:val="Contedodatabela"/>
        <w:jc w:val="center"/>
        <w:rPr/>
      </w:pPr>
      <w:r>
        <w:rPr/>
        <w:t xml:space="preserve">Capitão de Mar e Guerra (FN) </w:t>
      </w:r>
    </w:p>
    <w:p>
      <w:pPr>
        <w:pStyle w:val="ARIAL"/>
        <w:spacing w:lineRule="atLeast" w:line="283"/>
        <w:jc w:val="center"/>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 w:hAnsi="Carlito "/>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 w:hAnsi="Carlito " w:eastAsia="Arial" w:cs="Arial"/>
      </w:rPr>
    </w:lvl>
    <w:lvl w:ilvl="1">
      <w:start w:val="1"/>
      <w:numFmt w:val="decimal"/>
      <w:lvlText w:val="%1.%2."/>
      <w:lvlJc w:val="left"/>
      <w:pPr>
        <w:tabs>
          <w:tab w:val="num" w:pos="0"/>
        </w:tabs>
        <w:ind w:left="792" w:hanging="432"/>
      </w:pPr>
      <w:rPr>
        <w:sz w:val="24"/>
        <w:i w:val="false"/>
        <w:b/>
        <w:bCs/>
        <w:rFonts w:ascii="Carlito " w:hAnsi="Carlito " w:eastAsia="Arial" w:cs="Arial"/>
      </w:rPr>
    </w:lvl>
    <w:lvl w:ilvl="2">
      <w:start w:val="1"/>
      <w:numFmt w:val="decimal"/>
      <w:lvlText w:val="%1.%2.%3."/>
      <w:lvlJc w:val="left"/>
      <w:pPr>
        <w:tabs>
          <w:tab w:val="num" w:pos="0"/>
        </w:tabs>
        <w:ind w:left="1224" w:hanging="504"/>
      </w:pPr>
      <w:rPr>
        <w:sz w:val="24"/>
        <w:i w:val="false"/>
        <w:b/>
        <w:rFonts w:ascii="Calibri" w:hAnsi="Calibri"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 w:hAnsi="Carlito "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1015</TotalTime>
  <Application>LibreOffice/7.3.7.2$Linux_X86_64 LibreOffice_project/30$Build-2</Application>
  <AppVersion>15.0000</AppVersion>
  <Pages>14</Pages>
  <Words>4621</Words>
  <Characters>26734</Characters>
  <CharactersWithSpaces>31052</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2023-08-02T14:22:42Z</cp:lastPrinted>
  <dcterms:modified xsi:type="dcterms:W3CDTF">2023-09-25T14:47:44Z</dcterms:modified>
  <cp:revision>236</cp:revision>
  <dc:subject/>
  <dc:title/>
</cp:coreProperties>
</file>

<file path=docProps/custom.xml><?xml version="1.0" encoding="utf-8"?>
<Properties xmlns="http://schemas.openxmlformats.org/officeDocument/2006/custom-properties" xmlns:vt="http://schemas.openxmlformats.org/officeDocument/2006/docPropsVTypes"/>
</file>